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3CB4" w:rsidRDefault="004C3C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4C3CB4" w:rsidRDefault="004C3C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hd w:val="clear" w:color="auto" w:fill="FFFFFF"/>
        </w:rPr>
        <w:drawing>
          <wp:inline distT="0" distB="0" distL="0" distR="0">
            <wp:extent cx="5940425" cy="8165358"/>
            <wp:effectExtent l="0" t="0" r="0" b="0"/>
            <wp:docPr id="1" name="Рисунок 1" descr="C:\Users\Садик\Desktop\титул самообсле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адик\Desktop\титул самообсле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C3CB4" w:rsidRDefault="004C3C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4C3CB4" w:rsidRDefault="004C3C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4C3CB4" w:rsidRDefault="004C3C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bookmarkStart w:id="0" w:name="_GoBack"/>
      <w:bookmarkEnd w:id="0"/>
    </w:p>
    <w:p w:rsidR="004C3CB4" w:rsidRDefault="004C3CB4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Режим работы Детского сада.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Рабочая неделя – пятидневная, с понедельника по пятницу. Длительность пребывания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детей в группах – 9 часов. Режим работы групп – с 7:30 до 16:30. </w:t>
      </w:r>
    </w:p>
    <w:p w:rsidR="006C16AD" w:rsidRDefault="006C16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II. Система управления организации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 xml:space="preserve">Управление Детским садом осуществляется в соответствии с действующим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законодательством и уставом Детского сада. Управление Детским садом строится на принципах единоначалия и коллегиальности. Коллегиальными органами управления являются: управляющий совет, педагогический совет, общее собрание работников. Единоличным исполнительным органом является руководитель – заведующий.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Органы управления, действующие в Детском саду</w:t>
      </w:r>
    </w:p>
    <w:tbl>
      <w:tblPr>
        <w:tblW w:w="0" w:type="auto"/>
        <w:jc w:val="center"/>
        <w:tblInd w:w="1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53"/>
        <w:gridCol w:w="6598"/>
      </w:tblGrid>
      <w:tr w:rsidR="006C16AD">
        <w:trPr>
          <w:trHeight w:val="1"/>
          <w:jc w:val="center"/>
        </w:trPr>
        <w:tc>
          <w:tcPr>
            <w:tcW w:w="2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Наименование органа</w:t>
            </w:r>
          </w:p>
        </w:tc>
        <w:tc>
          <w:tcPr>
            <w:tcW w:w="6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Функции</w:t>
            </w:r>
          </w:p>
        </w:tc>
      </w:tr>
      <w:tr w:rsidR="006C16AD">
        <w:trPr>
          <w:trHeight w:val="1"/>
          <w:jc w:val="center"/>
        </w:trPr>
        <w:tc>
          <w:tcPr>
            <w:tcW w:w="24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Заведующий</w:t>
            </w:r>
          </w:p>
        </w:tc>
        <w:tc>
          <w:tcPr>
            <w:tcW w:w="6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Контролирует работу и обеспечивает эффективное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взаимодействие структурных подразделений организации,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утверждает штатное расписание, отчетные документы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организации, осуществляет общее руководство Детским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садом</w:t>
            </w:r>
          </w:p>
        </w:tc>
      </w:tr>
      <w:tr w:rsidR="006C16AD">
        <w:trPr>
          <w:trHeight w:val="1"/>
          <w:jc w:val="center"/>
        </w:trPr>
        <w:tc>
          <w:tcPr>
            <w:tcW w:w="2453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Управляющий совет</w:t>
            </w:r>
          </w:p>
        </w:tc>
        <w:tc>
          <w:tcPr>
            <w:tcW w:w="6598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Рассматривает вопросы: 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развития образовательной организации;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финансово-хозяйственной деятельности;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материально-технического обеспечения</w:t>
            </w:r>
          </w:p>
        </w:tc>
      </w:tr>
      <w:tr w:rsidR="006C16AD">
        <w:trPr>
          <w:trHeight w:val="1"/>
          <w:jc w:val="center"/>
        </w:trPr>
        <w:tc>
          <w:tcPr>
            <w:tcW w:w="2453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Педагогический совет</w:t>
            </w:r>
          </w:p>
        </w:tc>
        <w:tc>
          <w:tcPr>
            <w:tcW w:w="6598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Осуществляет текущее руководство образовательной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деятельностью Детского сада, в том числе рассматривает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вопросы: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развития образовательных услуг;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регламентации образовательных отношений;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разработки образовательных программ;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выбора учебников, учебных пособий, средств обучения и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воспитания;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материально-технического обеспечения образовательного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процесса;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аттестации, повышении квалификации педагогических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работников;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координации деятельности методических объединений</w:t>
            </w:r>
          </w:p>
        </w:tc>
      </w:tr>
      <w:tr w:rsidR="006C16AD">
        <w:trPr>
          <w:trHeight w:val="1"/>
          <w:jc w:val="center"/>
        </w:trPr>
        <w:tc>
          <w:tcPr>
            <w:tcW w:w="2453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Общее собрание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работников</w:t>
            </w:r>
          </w:p>
        </w:tc>
        <w:tc>
          <w:tcPr>
            <w:tcW w:w="6598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Реализует право работников участвовать в управлении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образовательной организацией, в том числе: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участвовать в разработке и принятии коллективного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>договора, Правил трудового распорядка, изменений и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дополнений к ним;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принимать локальные акты, которые регламентируют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деятельность образовательной организации и связаны с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 xml:space="preserve">правами и обязанностями работников; 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разрешать конфликтные ситуации между работниками и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администрацией образовательной организации;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− вносить предложения по корректировке плана мероприятий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организации, совершенствованию ее работы и развитию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материальной базы</w:t>
            </w:r>
          </w:p>
        </w:tc>
      </w:tr>
      <w:tr w:rsidR="006C16AD">
        <w:trPr>
          <w:trHeight w:val="1"/>
          <w:jc w:val="center"/>
        </w:trPr>
        <w:tc>
          <w:tcPr>
            <w:tcW w:w="2453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59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Структура и система управления соответствуют специфике деятельности Детского сада.</w:t>
      </w:r>
    </w:p>
    <w:p w:rsidR="006C16AD" w:rsidRDefault="006C16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III. Оценка образовательной деятельности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 xml:space="preserve">Образовательная деятельность в Детском саду организована в соответствии с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</w:r>
      <w:hyperlink r:id="rId6">
        <w:r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>Федеральным законом от 29.12.2012 № 273-ФЗ</w:t>
        </w:r>
      </w:hyperlink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«Об образовании в Российской Федерации», </w:t>
      </w:r>
      <w:hyperlink r:id="rId7">
        <w:r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>ФГОС дошкольного образования</w:t>
        </w:r>
      </w:hyperlink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, </w:t>
      </w:r>
      <w:hyperlink r:id="rId8">
        <w:r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>СанПиН 2.4.1.3049-13</w:t>
        </w:r>
      </w:hyperlink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 xml:space="preserve">Образовательная деятельность ведется на основании утвержденной основной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образовательной программы дошкольного образования, которая составлена в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соответствии с </w:t>
      </w:r>
      <w:hyperlink r:id="rId9">
        <w:r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>ФГОС дошкольного образования</w:t>
        </w:r>
      </w:hyperlink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, с учетом примерной образовательной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программы дошкольного образования, санитарно-эпидемиологическими правилами и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нормативами, с учетом недельной нагрузки. </w:t>
      </w:r>
    </w:p>
    <w:p w:rsidR="006C16AD" w:rsidRDefault="00DD66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>Детский сад посещают 19</w:t>
      </w:r>
      <w:r w:rsidR="0042054A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воспитанников в возрасте от 1 год 6 мес. до 7 ле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т. В Детском саду сформированы 3</w:t>
      </w:r>
      <w:r w:rsidR="0042054A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разновозрастные группы общеразвивающей направленности. Из них:</w:t>
      </w:r>
    </w:p>
    <w:p w:rsidR="006C16AD" w:rsidRDefault="00DD66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− младшая подгруппа – 4</w:t>
      </w:r>
      <w:r w:rsidR="0042054A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детей;</w:t>
      </w:r>
    </w:p>
    <w:p w:rsidR="006C16AD" w:rsidRDefault="00DD66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− средняя подгруппа – 6</w:t>
      </w:r>
      <w:r w:rsidR="0042054A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детей;</w:t>
      </w:r>
    </w:p>
    <w:p w:rsidR="006C16AD" w:rsidRDefault="00DD66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− старшая подгруппа – 6</w:t>
      </w:r>
      <w:r w:rsidR="0042054A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детей;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− подготовительная подгруппа – 3 детей.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Уровень развития детей анализируется по итогам педагогической диагностики. Формы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проведения диагностики: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− диагностические занятия (по каждому разделу программы);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− диагностические срезы;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− наблюдения, итоговые занятия.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Разработаны диагностические карты освоения основной образовательной программы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дошкольного образования Детского сада (ООП Детского сада) в каждой возрастной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подгруппе. Карты включают анализ уровня развития целевых ориентиров детского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развития и качества освоения образовательных областей. Так, результаты качества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освоения</w:t>
      </w:r>
      <w:r w:rsidR="00DD661F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ООП Детского сада </w:t>
      </w:r>
      <w:proofErr w:type="gramStart"/>
      <w:r w:rsidR="00DD661F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на конец</w:t>
      </w:r>
      <w:proofErr w:type="gramEnd"/>
      <w:r w:rsidR="00DD661F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2019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года выглядят следующим образом:</w:t>
      </w:r>
    </w:p>
    <w:tbl>
      <w:tblPr>
        <w:tblW w:w="0" w:type="auto"/>
        <w:jc w:val="center"/>
        <w:tblInd w:w="1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46"/>
        <w:gridCol w:w="672"/>
        <w:gridCol w:w="814"/>
        <w:gridCol w:w="660"/>
        <w:gridCol w:w="800"/>
        <w:gridCol w:w="686"/>
        <w:gridCol w:w="707"/>
        <w:gridCol w:w="660"/>
        <w:gridCol w:w="1775"/>
      </w:tblGrid>
      <w:tr w:rsidR="006C16AD">
        <w:trPr>
          <w:trHeight w:val="1"/>
          <w:jc w:val="center"/>
        </w:trPr>
        <w:tc>
          <w:tcPr>
            <w:tcW w:w="27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Уровень развития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 xml:space="preserve">целевых ориентиров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>детского развития</w:t>
            </w:r>
          </w:p>
        </w:tc>
        <w:tc>
          <w:tcPr>
            <w:tcW w:w="148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>Выше нормы</w:t>
            </w:r>
          </w:p>
        </w:tc>
        <w:tc>
          <w:tcPr>
            <w:tcW w:w="14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Норма</w:t>
            </w:r>
          </w:p>
        </w:tc>
        <w:tc>
          <w:tcPr>
            <w:tcW w:w="139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Ниже нормы</w:t>
            </w:r>
          </w:p>
        </w:tc>
        <w:tc>
          <w:tcPr>
            <w:tcW w:w="243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Итого</w:t>
            </w:r>
          </w:p>
        </w:tc>
      </w:tr>
      <w:tr w:rsidR="006C16AD">
        <w:trPr>
          <w:jc w:val="center"/>
        </w:trPr>
        <w:tc>
          <w:tcPr>
            <w:tcW w:w="274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во</w:t>
            </w:r>
            <w:proofErr w:type="gramEnd"/>
          </w:p>
        </w:tc>
        <w:tc>
          <w:tcPr>
            <w:tcW w:w="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%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во</w:t>
            </w:r>
            <w:proofErr w:type="gramEnd"/>
          </w:p>
        </w:tc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%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во</w:t>
            </w:r>
            <w:proofErr w:type="gramEnd"/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%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во</w:t>
            </w:r>
            <w:proofErr w:type="gramEnd"/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%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воспитанников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в пределе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нормы</w:t>
            </w:r>
          </w:p>
        </w:tc>
      </w:tr>
      <w:tr w:rsidR="006C16AD">
        <w:trPr>
          <w:trHeight w:val="1"/>
          <w:jc w:val="center"/>
        </w:trPr>
        <w:tc>
          <w:tcPr>
            <w:tcW w:w="2746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2</w:t>
            </w:r>
          </w:p>
        </w:tc>
        <w:tc>
          <w:tcPr>
            <w:tcW w:w="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10,5%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16</w:t>
            </w:r>
          </w:p>
        </w:tc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84,2%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</w:t>
            </w: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5,2%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19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94,7%</w:t>
            </w:r>
          </w:p>
        </w:tc>
      </w:tr>
      <w:tr w:rsidR="006C16AD">
        <w:trPr>
          <w:trHeight w:val="1"/>
          <w:jc w:val="center"/>
        </w:trPr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Качество освоения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образовательных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областей</w:t>
            </w:r>
          </w:p>
        </w:tc>
        <w:tc>
          <w:tcPr>
            <w:tcW w:w="6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2</w:t>
            </w:r>
          </w:p>
        </w:tc>
        <w:tc>
          <w:tcPr>
            <w:tcW w:w="8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10,5%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16</w:t>
            </w:r>
          </w:p>
        </w:tc>
        <w:tc>
          <w:tcPr>
            <w:tcW w:w="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84,2%</w:t>
            </w:r>
          </w:p>
        </w:tc>
        <w:tc>
          <w:tcPr>
            <w:tcW w:w="6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</w:t>
            </w:r>
          </w:p>
        </w:tc>
        <w:tc>
          <w:tcPr>
            <w:tcW w:w="70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5,2%</w:t>
            </w:r>
          </w:p>
        </w:tc>
        <w:tc>
          <w:tcPr>
            <w:tcW w:w="6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19</w:t>
            </w:r>
          </w:p>
        </w:tc>
        <w:tc>
          <w:tcPr>
            <w:tcW w:w="1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94,7%</w:t>
            </w:r>
          </w:p>
        </w:tc>
      </w:tr>
      <w:tr w:rsidR="006C16AD">
        <w:trPr>
          <w:trHeight w:val="1"/>
          <w:jc w:val="center"/>
        </w:trPr>
        <w:tc>
          <w:tcPr>
            <w:tcW w:w="274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72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81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8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8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70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66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77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6C16AD" w:rsidRDefault="00DD66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Воспитательная работа.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Чтобы выбрать стратег</w:t>
      </w:r>
      <w:r w:rsidR="00DD661F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ию воспитательной работы, в 2019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году проводился анализ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состава семей воспитанников.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Характеристика семей по составу</w:t>
      </w:r>
    </w:p>
    <w:tbl>
      <w:tblPr>
        <w:tblW w:w="0" w:type="auto"/>
        <w:tblInd w:w="1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8"/>
        <w:gridCol w:w="2832"/>
        <w:gridCol w:w="3080"/>
      </w:tblGrid>
      <w:tr w:rsidR="006C16AD">
        <w:trPr>
          <w:trHeight w:val="1"/>
        </w:trPr>
        <w:tc>
          <w:tcPr>
            <w:tcW w:w="3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Состав семьи</w:t>
            </w:r>
          </w:p>
        </w:tc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Количество семей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Процент от общего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количества семей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воспитанников</w:t>
            </w:r>
          </w:p>
        </w:tc>
      </w:tr>
      <w:tr w:rsidR="006C16AD">
        <w:trPr>
          <w:trHeight w:val="1"/>
        </w:trPr>
        <w:tc>
          <w:tcPr>
            <w:tcW w:w="3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Полная</w:t>
            </w:r>
          </w:p>
        </w:tc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14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78%</w:t>
            </w:r>
          </w:p>
        </w:tc>
      </w:tr>
      <w:tr w:rsidR="006C16AD">
        <w:trPr>
          <w:trHeight w:val="1"/>
        </w:trPr>
        <w:tc>
          <w:tcPr>
            <w:tcW w:w="3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Неполная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с матерью</w:t>
            </w:r>
          </w:p>
        </w:tc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4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22%</w:t>
            </w:r>
          </w:p>
        </w:tc>
      </w:tr>
      <w:tr w:rsidR="006C16AD">
        <w:trPr>
          <w:trHeight w:val="1"/>
        </w:trPr>
        <w:tc>
          <w:tcPr>
            <w:tcW w:w="3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Неполная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с отцом</w:t>
            </w:r>
          </w:p>
        </w:tc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0 %</w:t>
            </w:r>
          </w:p>
        </w:tc>
      </w:tr>
      <w:tr w:rsidR="006C16AD">
        <w:trPr>
          <w:trHeight w:val="1"/>
        </w:trPr>
        <w:tc>
          <w:tcPr>
            <w:tcW w:w="36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Оформлено опекунство</w:t>
            </w:r>
          </w:p>
        </w:tc>
        <w:tc>
          <w:tcPr>
            <w:tcW w:w="28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</w:t>
            </w:r>
          </w:p>
        </w:tc>
        <w:tc>
          <w:tcPr>
            <w:tcW w:w="30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0%</w:t>
            </w:r>
          </w:p>
        </w:tc>
      </w:tr>
      <w:tr w:rsidR="006C16AD">
        <w:trPr>
          <w:trHeight w:val="1"/>
        </w:trPr>
        <w:tc>
          <w:tcPr>
            <w:tcW w:w="3615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836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3084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Характеристика семей по количеству детей</w:t>
      </w:r>
    </w:p>
    <w:tbl>
      <w:tblPr>
        <w:tblW w:w="0" w:type="auto"/>
        <w:tblInd w:w="1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93"/>
        <w:gridCol w:w="2744"/>
        <w:gridCol w:w="2983"/>
      </w:tblGrid>
      <w:tr w:rsidR="006C16AD">
        <w:trPr>
          <w:trHeight w:val="1"/>
        </w:trPr>
        <w:tc>
          <w:tcPr>
            <w:tcW w:w="3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Количество детей в семье</w:t>
            </w:r>
          </w:p>
        </w:tc>
        <w:tc>
          <w:tcPr>
            <w:tcW w:w="2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Количество семей</w:t>
            </w:r>
          </w:p>
        </w:tc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Процент от общего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количества семей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воспитанников</w:t>
            </w:r>
          </w:p>
        </w:tc>
      </w:tr>
      <w:tr w:rsidR="006C16AD">
        <w:trPr>
          <w:trHeight w:val="1"/>
        </w:trPr>
        <w:tc>
          <w:tcPr>
            <w:tcW w:w="3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Один ребенок</w:t>
            </w:r>
          </w:p>
        </w:tc>
        <w:tc>
          <w:tcPr>
            <w:tcW w:w="2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11</w:t>
            </w:r>
          </w:p>
        </w:tc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61,1%</w:t>
            </w:r>
          </w:p>
        </w:tc>
      </w:tr>
      <w:tr w:rsidR="006C16AD">
        <w:trPr>
          <w:trHeight w:val="1"/>
        </w:trPr>
        <w:tc>
          <w:tcPr>
            <w:tcW w:w="3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Два ребенка</w:t>
            </w:r>
          </w:p>
        </w:tc>
        <w:tc>
          <w:tcPr>
            <w:tcW w:w="2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6</w:t>
            </w:r>
          </w:p>
        </w:tc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33,3%</w:t>
            </w:r>
          </w:p>
        </w:tc>
      </w:tr>
      <w:tr w:rsidR="006C16AD">
        <w:trPr>
          <w:trHeight w:val="1"/>
        </w:trPr>
        <w:tc>
          <w:tcPr>
            <w:tcW w:w="38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Три ребенка и более</w:t>
            </w:r>
          </w:p>
        </w:tc>
        <w:tc>
          <w:tcPr>
            <w:tcW w:w="27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</w:t>
            </w:r>
          </w:p>
        </w:tc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5,5%</w:t>
            </w:r>
          </w:p>
        </w:tc>
      </w:tr>
      <w:tr w:rsidR="006C16AD">
        <w:trPr>
          <w:trHeight w:val="1"/>
        </w:trPr>
        <w:tc>
          <w:tcPr>
            <w:tcW w:w="3800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74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2987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DD661F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Воспитательная работа строится с учетом индивидуальных особенностей детей, с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использованием разнообразных форм и методов, в тесной взаимосвязи воспитателей,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специалистов и родителей. Детям из неполных семей уделяется большее внимание в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первые месяцы после зачисления в Детский сад.</w:t>
      </w:r>
    </w:p>
    <w:p w:rsidR="006C16AD" w:rsidRDefault="006C16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DD661F" w:rsidRDefault="00DD66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 xml:space="preserve">IV. Оценка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функционирования внутренней системы оценки качества образования</w:t>
      </w:r>
      <w:proofErr w:type="gramEnd"/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В Детском саду утверждено </w:t>
      </w:r>
      <w:hyperlink r:id="rId10">
        <w:r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 xml:space="preserve">положение о внутренней системе оценки качества </w:t>
        </w:r>
      </w:hyperlink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</w:r>
      <w:hyperlink r:id="rId11">
        <w:r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>образования</w:t>
        </w:r>
      </w:hyperlink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от 17.09.2016. Мониторинг качества образовательной деятельности в 2017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году показал хорошую работу педагогического коллектива по всем показателям. Состояние здоровья и физического развития воспитанников удовлетворительные. 88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процентов детей успешно освоили образовательную программу дошкольного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образования в своей возрастной группе. В течение года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воспитанники Детского сада успешно участвовали в конкурсах и мероприятиях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различного уровня.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>В период с 1</w:t>
      </w:r>
      <w:r w:rsidR="00DD661F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5.10.2018 по 18.10.2018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проводилось анкетирование 15 родителей, получены следующие результаты: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− доля получателей услуг, положительно оценивающих доброжелательность и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вежливость работников организации, – 100 %;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− доля получателей услуг, удовлетворенных компетентностью работников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организации, – 100 %;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− доля получателей услуг, удовлетворенных материально-техническим обеспечением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организации, – 81 %;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− доля получателей услуг, удовлетворенных качеством предоставляемых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образовательных услуг, – 93 %;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− доля получателей услуг, которые готовы рекомендовать организацию родственникам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и знакомым, – 95 %.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Анкетирование родителей показало высокую степень удовлетворенности качеством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предоставляемых услуг.</w:t>
      </w:r>
    </w:p>
    <w:p w:rsidR="006C16AD" w:rsidRDefault="006C16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V. Оценка кадрового обеспечения</w:t>
      </w:r>
    </w:p>
    <w:p w:rsidR="0024793A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>Детский сад укомплектован педагогами на 100 процентов согласно штатно</w:t>
      </w:r>
      <w:r w:rsidR="0024793A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му </w:t>
      </w:r>
      <w:r w:rsidR="0024793A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расписанию. Всего работают 4 педагога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. </w:t>
      </w:r>
    </w:p>
    <w:p w:rsidR="006C16AD" w:rsidRDefault="002479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За 2018</w:t>
      </w:r>
      <w:r w:rsidR="0042054A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год педагогические работники не проходили аттестацию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. 3 педагога прошли обучение</w:t>
      </w:r>
      <w:r w:rsidR="0042054A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на курсах </w:t>
      </w:r>
      <w:hyperlink r:id="rId12">
        <w:r w:rsidR="0042054A"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 xml:space="preserve">повышения </w:t>
        </w:r>
        <w:r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 xml:space="preserve"> </w:t>
        </w:r>
        <w:r w:rsidR="0042054A"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>квалификации</w:t>
        </w:r>
      </w:hyperlink>
      <w:r w:rsidR="0042054A">
        <w:rPr>
          <w:rFonts w:ascii="Calibri" w:eastAsia="Calibri" w:hAnsi="Calibri" w:cs="Calibri"/>
          <w:shd w:val="clear" w:color="auto" w:fill="FFFFFF"/>
        </w:rPr>
        <w:t>.</w:t>
      </w:r>
    </w:p>
    <w:p w:rsidR="006C16AD" w:rsidRDefault="006C16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6C16AD" w:rsidRDefault="002479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В 2018 году педагоги Октябрьского д</w:t>
      </w:r>
      <w:r w:rsidR="0042054A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етского сада приняли участие: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- в районных семинарах воспитателей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Верхнеуслонского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муниципального района РТ;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-  в муниципальном этапе республиканского смотра-конкурса среди воспитателей и ДОО по профилактике детского дорожно-транспортного травматизма «зелёный огонек».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 xml:space="preserve">Детский сад укомплектован кадрами полностью. Педагоги постоянно повышают свой профессиональный уровень, эффективно участвуют в работе методических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объединений, знакомятся с опытом работы своих коллег и других дошкольных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учреждений, а также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саморазвиваются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. Все это в комплексе дает хороший результат в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организации педагогической деятельности и улучшении качества образования и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воспитания дошкольников.</w:t>
      </w:r>
    </w:p>
    <w:p w:rsidR="006C16AD" w:rsidRDefault="006C16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VI. Оценка учебно-методического и библиотечно-информационного обеспечения</w:t>
      </w:r>
    </w:p>
    <w:p w:rsidR="006C16AD" w:rsidRDefault="0042054A">
      <w:pPr>
        <w:spacing w:before="100" w:after="100" w:line="240" w:lineRule="auto"/>
        <w:rPr>
          <w:rFonts w:ascii="Times New Roman" w:eastAsia="Times New Roman" w:hAnsi="Times New Roman" w:cs="Times New Roman"/>
          <w:color w:val="000000"/>
          <w:sz w:val="27"/>
        </w:rPr>
      </w:pPr>
      <w:r>
        <w:rPr>
          <w:rFonts w:ascii="Times New Roman" w:eastAsia="Times New Roman" w:hAnsi="Times New Roman" w:cs="Times New Roman"/>
          <w:color w:val="000000"/>
          <w:sz w:val="24"/>
        </w:rPr>
        <w:lastRenderedPageBreak/>
        <w:tab/>
        <w:t xml:space="preserve">В МБДОУ «Октябрьский детский сад» библиотечный фонд располагается в группах детского сада и представлен методической 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Для каждой возрастной группы имеется банк необходимых учебно-методических пособий, рекомендованных для планирования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 xml:space="preserve">-образовательной работы в 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>соответствии с обязательной частью ООП. В 2017 году МБДОУ «Октябрьский детский сад» обновил учебно-методический компле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</w:rPr>
        <w:t>кт к пр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</w:rPr>
        <w:t xml:space="preserve">имерной 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общеобразовательной программе дошкольного образования «От рождения до школы» в </w:t>
      </w:r>
      <w:r>
        <w:rPr>
          <w:rFonts w:ascii="Times New Roman" w:eastAsia="Times New Roman" w:hAnsi="Times New Roman" w:cs="Times New Roman"/>
          <w:color w:val="000000"/>
          <w:sz w:val="24"/>
        </w:rPr>
        <w:br/>
        <w:t xml:space="preserve">соответствии с ФГОС. Приобрели наглядно-дидактические пособия. Оборудование и оснащение методического кабинета укомплектовано достаточным количеством методической литературы для реализации образовательных программ.   В МБДОУ «Октябрьский детский сад» созданы условия для возможности организации совместной деятельности педагогов. Оснащенность техническим и компьютерным оборудованием – 100%, позволяет работать с текстовыми редакторами,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</w:rPr>
        <w:t>интернет-ресурсами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</w:rPr>
        <w:t>, фото-, видеоматериалами, графическими редакторами. 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6C16AD" w:rsidRDefault="006C16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hd w:val="clear" w:color="auto" w:fill="FFFFFF"/>
        </w:rPr>
        <w:t>VII. Оценка материально-технической базы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В Детском саду сформирована материально-техническая база для реализации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образовательных программ, жизнеобеспечения и развития детей. В Детском саду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оборудованы помещения: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− групповые помещения – 2;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− пищеблок – 1;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− прачечная – 1;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 xml:space="preserve">В 2017 году Детский сад провел </w:t>
      </w:r>
      <w:hyperlink r:id="rId13">
        <w:r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>текущий ремонт</w:t>
        </w:r>
      </w:hyperlink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в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групповых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, спальне, коридоре. Построили новые малые архитектурные формы и игровое оборудование на участке. 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ab/>
        <w:t xml:space="preserve">Материально-техническое состояние Детского сада и территории соответствует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действующим санитарно-эпидемиологическим требованиям к устройству, содержанию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и организации режима работы в дошкольных организациях, правилам пожарной 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безопасности, требованиям охраны труда.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Результаты анализа показателей деятельности организации.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Данные прив</w:t>
      </w:r>
      <w:r w:rsidR="00490723"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едены по состоянию на 29.12.2018</w:t>
      </w: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.</w:t>
      </w:r>
    </w:p>
    <w:tbl>
      <w:tblPr>
        <w:tblW w:w="0" w:type="auto"/>
        <w:tblInd w:w="15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621"/>
        <w:gridCol w:w="1518"/>
        <w:gridCol w:w="1381"/>
      </w:tblGrid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Показатели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Единица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измерения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Количество</w:t>
            </w:r>
          </w:p>
        </w:tc>
      </w:tr>
      <w:tr w:rsidR="006C16AD">
        <w:trPr>
          <w:trHeight w:val="1"/>
        </w:trPr>
        <w:tc>
          <w:tcPr>
            <w:tcW w:w="95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Образовательная деятельность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Общее количество воспитанников, которые обучаются по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 xml:space="preserve">программе дошкольного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образования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в том числе обучающиеся: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19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0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 xml:space="preserve">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режиме полного дня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(9 часов)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19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в режиме кратковременного пребывания (3–5 часов)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в семейной дошкольной группе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по форме семейного образования с психолого-педагогическим сопровождением, которое организует детский сад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Общее количество воспитанников в возрасте до трех лет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4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15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Количество (удельный вес) детей от общей численности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воспитанников, которые получают услуги присмотра и ухода, в том числе в группах: 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(процент)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 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8–12-часового пребывания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19 (100%)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12–14-часового пребывания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 (0%)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круглосуточного пребывания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 (0%)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Численность (удельный вес) воспитанников с ОВЗ от общей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численности воспитанников, которые получают услуги: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(процент)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 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по коррекции недостатков физического, психического развития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 (0%)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обучению по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образовательной программе дошкольного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образования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 (0%)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присмотру и уходу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 (0%)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Средний показатель пропущенных по болезни дней на одного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воспитанника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день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31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Общая численность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педработников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, в том числе количество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педработников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4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с высшим образованием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высшим образованием педагогической направленности (профиля)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2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средним профессиональным образованием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средним профессиональным образованием педагогической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направленности (профиля)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2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Количество (удельный вес численности) педагогических работников, которым по результатам аттестации присвоена квалификационная категория, в общей численности педагогических работников, в том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числе: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(процент)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 (100%)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с высшей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 (100%)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первой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 (0%)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Количество (удельный вес численности) педагогических работников в общей численности педагогических работников,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>педагогический стаж работы которых составляет: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>человек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>(процент)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> 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>до 5 лет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 (25%)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больше 30 лет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3 (75%)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Количество (удельный вес численности) педагогических работников в общей численности педагогических работников в возрасте: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(процент)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 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до 30 лет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 (25%)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от </w:t>
            </w:r>
            <w:r w:rsidR="00490723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40-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55 лет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90723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2</w:t>
            </w:r>
            <w:r w:rsidR="0042054A"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 (25%)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Численность (удельный вес) педагогических и административно-хозяйственных работников, которые за последние 5 лет прошли повышение квалификации или профессиональную переподготовку, от общей численности таких работников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(процент)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3 (75%)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Численность (удельный вес) педагогических и административно-хозяйственных работников, которые прошли повышение квалификации по применению в образовательном процессе ФГОС, от общей численности таких работников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(процент)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3 (75%)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Соотношение «педагогический работник/воспитанник»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человек/чело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век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1/4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Наличие в детском саду: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да/нет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 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музыкального руководителя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да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инструктора по физической культуре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нет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учителя-логопеда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нет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логопеда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нет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учителя-дефектолога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нет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педагога-психолога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нет</w:t>
            </w:r>
          </w:p>
        </w:tc>
      </w:tr>
      <w:tr w:rsidR="006C16AD">
        <w:trPr>
          <w:trHeight w:val="1"/>
        </w:trPr>
        <w:tc>
          <w:tcPr>
            <w:tcW w:w="952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Инфраструктура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Общая площадь помещений, в которых осуществляется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образовательная деятельность, в расчете на одного воспитанника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кв. м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6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Площадь помещений для дополнительных видов деятельности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воспитанников</w:t>
            </w:r>
          </w:p>
        </w:tc>
        <w:tc>
          <w:tcPr>
            <w:tcW w:w="15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кв. м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0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Наличие в детском саду:</w:t>
            </w:r>
          </w:p>
        </w:tc>
        <w:tc>
          <w:tcPr>
            <w:tcW w:w="151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да/нет</w:t>
            </w: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0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 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физкультурного зала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нет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музыкального зала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нет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 xml:space="preserve">прогулочных площадок, которые оснащены так, чтобы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lastRenderedPageBreak/>
              <w:t>обеспечить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потребность воспитанников в физической активности и игровой </w:t>
            </w:r>
          </w:p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br/>
              <w:t>деятельности на улице</w:t>
            </w:r>
          </w:p>
        </w:tc>
        <w:tc>
          <w:tcPr>
            <w:tcW w:w="151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000000" w:fill="FFFFFF"/>
            <w:tcMar>
              <w:left w:w="90" w:type="dxa"/>
              <w:right w:w="90" w:type="dxa"/>
            </w:tcMar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left w:w="90" w:type="dxa"/>
              <w:right w:w="90" w:type="dxa"/>
            </w:tcMar>
          </w:tcPr>
          <w:p w:rsidR="006C16AD" w:rsidRDefault="0042054A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hd w:val="clear" w:color="auto" w:fill="FFFFFF"/>
              </w:rPr>
              <w:t>да</w:t>
            </w:r>
          </w:p>
        </w:tc>
      </w:tr>
      <w:tr w:rsidR="006C16AD">
        <w:trPr>
          <w:trHeight w:val="1"/>
        </w:trPr>
        <w:tc>
          <w:tcPr>
            <w:tcW w:w="662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518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  <w:tc>
          <w:tcPr>
            <w:tcW w:w="1381" w:type="dxa"/>
            <w:tcBorders>
              <w:top w:val="single" w:sz="0" w:space="0" w:color="000000"/>
              <w:left w:val="single" w:sz="0" w:space="0" w:color="000000"/>
              <w:bottom w:val="single" w:sz="0" w:space="0" w:color="000000"/>
              <w:right w:val="single" w:sz="0" w:space="0" w:color="000000"/>
            </w:tcBorders>
            <w:shd w:val="clear" w:color="000000" w:fill="FFFFFF"/>
            <w:tcMar>
              <w:left w:w="90" w:type="dxa"/>
              <w:right w:w="90" w:type="dxa"/>
            </w:tcMar>
            <w:vAlign w:val="center"/>
          </w:tcPr>
          <w:p w:rsidR="006C16AD" w:rsidRDefault="006C16A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120" w:line="240" w:lineRule="auto"/>
              <w:jc w:val="center"/>
              <w:rPr>
                <w:rFonts w:ascii="Calibri" w:eastAsia="Calibri" w:hAnsi="Calibri" w:cs="Calibri"/>
              </w:rPr>
            </w:pPr>
          </w:p>
        </w:tc>
      </w:tr>
    </w:tbl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Анализ показателей указывает на то, что Детский сад имеет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>достаточную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инфраструктуру, которая соответствует требованиям </w:t>
      </w:r>
      <w:hyperlink r:id="rId14">
        <w:r>
          <w:rPr>
            <w:rFonts w:ascii="Times New Roman" w:eastAsia="Times New Roman" w:hAnsi="Times New Roman" w:cs="Times New Roman"/>
            <w:color w:val="000000"/>
            <w:sz w:val="24"/>
            <w:u w:val="single"/>
            <w:shd w:val="clear" w:color="auto" w:fill="FFFFFF"/>
          </w:rPr>
          <w:t>СанПиН 2.4.1.3049-13</w:t>
        </w:r>
      </w:hyperlink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 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«Санитарно-эпидемиологические требования к устройству, содержанию и организации 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режима работы дошкольных образовательных организаций» и позволяет 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реализовывать образовательные программы в полном объеме в соответствии с ФГОС 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ДО.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t xml:space="preserve">Детский сад укомплектован достаточным количеством педагогических и иных 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 xml:space="preserve">работников, которые имеют высокую квалификацию и регулярно проходят повышение </w:t>
      </w:r>
    </w:p>
    <w:p w:rsidR="006C16AD" w:rsidRDefault="0042054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  <w:br/>
        <w:t>квалификации, что обеспечивает результативность образовательной деятельности.</w:t>
      </w:r>
    </w:p>
    <w:p w:rsidR="006C16AD" w:rsidRDefault="006C16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p w:rsidR="006C16AD" w:rsidRDefault="006C16A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12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hd w:val="clear" w:color="auto" w:fill="FFFFFF"/>
        </w:rPr>
      </w:pPr>
    </w:p>
    <w:sectPr w:rsidR="006C16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6C16AD"/>
    <w:rsid w:val="0024793A"/>
    <w:rsid w:val="0042054A"/>
    <w:rsid w:val="00490723"/>
    <w:rsid w:val="004C3CB4"/>
    <w:rsid w:val="006C16AD"/>
    <w:rsid w:val="00BD416E"/>
    <w:rsid w:val="00C54D29"/>
    <w:rsid w:val="00DD6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3C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C3C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" TargetMode="External"/><Relationship Id="rId13" Type="http://schemas.openxmlformats.org/officeDocument/2006/relationships/hyperlink" Target="http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vip.1obraz.ru/" TargetMode="External"/><Relationship Id="rId12" Type="http://schemas.openxmlformats.org/officeDocument/2006/relationships/hyperlink" Target="http://vip.1obraz.ru/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://vip.1obraz.ru/" TargetMode="External"/><Relationship Id="rId11" Type="http://schemas.openxmlformats.org/officeDocument/2006/relationships/hyperlink" Target="http://vip.1obraz.ru/" TargetMode="External"/><Relationship Id="rId5" Type="http://schemas.openxmlformats.org/officeDocument/2006/relationships/image" Target="media/image1.jpeg"/><Relationship Id="rId15" Type="http://schemas.openxmlformats.org/officeDocument/2006/relationships/fontTable" Target="fontTable.xml"/><Relationship Id="rId10" Type="http://schemas.openxmlformats.org/officeDocument/2006/relationships/hyperlink" Target="http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vip.1obraz.ru/" TargetMode="External"/><Relationship Id="rId14" Type="http://schemas.openxmlformats.org/officeDocument/2006/relationships/hyperlink" Target="http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9</Pages>
  <Words>2221</Words>
  <Characters>12664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Садик</cp:lastModifiedBy>
  <cp:revision>4</cp:revision>
  <dcterms:created xsi:type="dcterms:W3CDTF">2020-01-30T05:54:00Z</dcterms:created>
  <dcterms:modified xsi:type="dcterms:W3CDTF">2020-01-30T09:39:00Z</dcterms:modified>
</cp:coreProperties>
</file>